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b/>
          <w:sz w:val="54"/>
          <w:szCs w:val="54"/>
          <w:u w:val="single"/>
        </w:rPr>
      </w:pPr>
      <w:r>
        <w:rPr>
          <w:b/>
          <w:sz w:val="54"/>
          <w:szCs w:val="54"/>
          <w:u w:val="single"/>
        </w:rPr>
        <w:t>FEDERATION ALGERIENNE DE FOOTBALL</w:t>
      </w:r>
    </w:p>
    <w:p>
      <w:pPr>
        <w:spacing w:after="0" w:line="360" w:lineRule="auto"/>
        <w:jc w:val="center"/>
        <w:rPr>
          <w:b/>
          <w:sz w:val="54"/>
          <w:szCs w:val="54"/>
          <w:u w:val="single"/>
        </w:rPr>
      </w:pPr>
      <w:r>
        <w:rPr>
          <w:b/>
          <w:sz w:val="54"/>
          <w:szCs w:val="54"/>
          <w:u w:val="single"/>
        </w:rPr>
        <w:t>LIGUE DE FOOT- BALL PROFESSIONNEL</w:t>
      </w:r>
    </w:p>
    <w:p>
      <w:pPr>
        <w:spacing w:after="0" w:line="360" w:lineRule="auto"/>
        <w:jc w:val="center"/>
        <w:rPr>
          <w:b/>
          <w:sz w:val="46"/>
          <w:szCs w:val="46"/>
          <w:u w:val="single"/>
        </w:rPr>
      </w:pPr>
      <w:r>
        <w:rPr>
          <w:b/>
          <w:sz w:val="46"/>
          <w:szCs w:val="46"/>
          <w:u w:val="single"/>
        </w:rPr>
        <w:t>Commission de Discipline</w:t>
      </w:r>
    </w:p>
    <w:p>
      <w:pPr>
        <w:spacing w:after="0" w:line="360" w:lineRule="auto"/>
        <w:ind w:left="-284" w:firstLine="284"/>
        <w:jc w:val="center"/>
        <w:rPr>
          <w:sz w:val="36"/>
          <w:szCs w:val="36"/>
          <w:u w:val="single"/>
        </w:rPr>
      </w:pPr>
      <w:r>
        <w:rPr>
          <w:sz w:val="36"/>
          <w:szCs w:val="36"/>
          <w:u w:val="single"/>
        </w:rPr>
        <w:t>Procès-Verbal N°4</w:t>
      </w:r>
      <w:r>
        <w:rPr>
          <w:rFonts w:hint="default"/>
          <w:sz w:val="36"/>
          <w:szCs w:val="36"/>
          <w:u w:val="single"/>
          <w:lang w:val="fr-FR"/>
        </w:rPr>
        <w:t>9</w:t>
      </w:r>
      <w:r>
        <w:rPr>
          <w:sz w:val="36"/>
          <w:szCs w:val="36"/>
          <w:u w:val="single"/>
        </w:rPr>
        <w:t xml:space="preserve">: Séance du Lundi </w:t>
      </w:r>
      <w:r>
        <w:rPr>
          <w:rFonts w:hint="default"/>
          <w:sz w:val="36"/>
          <w:szCs w:val="36"/>
          <w:u w:val="single"/>
          <w:lang w:val="fr-FR"/>
        </w:rPr>
        <w:t>20</w:t>
      </w:r>
      <w:r>
        <w:rPr>
          <w:sz w:val="36"/>
          <w:szCs w:val="36"/>
          <w:u w:val="single"/>
        </w:rPr>
        <w:t xml:space="preserve"> Juin 2022</w:t>
      </w:r>
    </w:p>
    <w:p>
      <w:pPr>
        <w:spacing w:after="0" w:line="360" w:lineRule="auto"/>
        <w:jc w:val="center"/>
        <w:rPr>
          <w:sz w:val="36"/>
          <w:szCs w:val="36"/>
          <w:u w:val="single"/>
        </w:rPr>
      </w:pPr>
      <w:r>
        <w:rPr>
          <w:sz w:val="36"/>
          <w:szCs w:val="36"/>
          <w:u w:val="single"/>
        </w:rPr>
        <w:t xml:space="preserve">  - Traitement des Affaires -</w:t>
      </w:r>
      <w:bookmarkStart w:id="1" w:name="_GoBack"/>
      <w:bookmarkEnd w:id="1"/>
    </w:p>
    <w:p>
      <w:pPr>
        <w:spacing w:after="0" w:line="360" w:lineRule="auto"/>
        <w:ind w:left="-567" w:right="-851"/>
        <w:jc w:val="center"/>
        <w:rPr>
          <w:b/>
          <w:sz w:val="36"/>
          <w:szCs w:val="36"/>
          <w:u w:val="single"/>
        </w:rPr>
      </w:pPr>
      <w:r>
        <w:rPr>
          <w:sz w:val="32"/>
          <w:szCs w:val="32"/>
          <w:u w:val="single"/>
        </w:rPr>
        <w:t xml:space="preserve">Championnat de Football Professionnel : Ligue 1 </w:t>
      </w:r>
      <w:r>
        <w:rPr>
          <w:b/>
          <w:bCs/>
          <w:sz w:val="32"/>
          <w:szCs w:val="32"/>
          <w:u w:val="single"/>
        </w:rPr>
        <w:t xml:space="preserve">Seniors </w:t>
      </w:r>
      <w:r>
        <w:rPr>
          <w:sz w:val="32"/>
          <w:szCs w:val="32"/>
          <w:u w:val="single"/>
        </w:rPr>
        <w:t>:</w:t>
      </w:r>
    </w:p>
    <w:p>
      <w:pPr>
        <w:spacing w:after="0" w:line="360" w:lineRule="auto"/>
        <w:rPr>
          <w:b/>
          <w:bCs/>
          <w:sz w:val="30"/>
          <w:szCs w:val="30"/>
          <w:u w:val="single"/>
        </w:rPr>
      </w:pPr>
      <w:r>
        <w:rPr>
          <w:b/>
          <w:bCs/>
          <w:sz w:val="30"/>
          <w:szCs w:val="30"/>
          <w:u w:val="single"/>
        </w:rPr>
        <w:t>Membres de la Commission :</w:t>
      </w:r>
    </w:p>
    <w:p>
      <w:pPr>
        <w:spacing w:after="0" w:line="360" w:lineRule="auto"/>
        <w:rPr>
          <w:sz w:val="30"/>
          <w:szCs w:val="30"/>
        </w:rPr>
      </w:pPr>
      <w:r>
        <w:rPr>
          <w:b/>
          <w:bCs/>
          <w:sz w:val="30"/>
          <w:szCs w:val="30"/>
        </w:rPr>
        <w:t>- Monsieur    MESBAH Kamel              :</w:t>
      </w:r>
      <w:r>
        <w:rPr>
          <w:sz w:val="30"/>
          <w:szCs w:val="30"/>
        </w:rPr>
        <w:t xml:space="preserve"> Président        </w:t>
      </w:r>
    </w:p>
    <w:p>
      <w:pPr>
        <w:spacing w:after="0" w:line="360" w:lineRule="auto"/>
        <w:rPr>
          <w:sz w:val="30"/>
          <w:szCs w:val="30"/>
        </w:rPr>
      </w:pPr>
      <w:r>
        <w:rPr>
          <w:sz w:val="30"/>
          <w:szCs w:val="30"/>
        </w:rPr>
        <w:t xml:space="preserve">-  </w:t>
      </w:r>
      <w:r>
        <w:rPr>
          <w:b/>
          <w:bCs/>
          <w:sz w:val="30"/>
          <w:szCs w:val="30"/>
        </w:rPr>
        <w:t xml:space="preserve">Monsieur   DJEDIAT Sofiane          </w:t>
      </w:r>
      <w:r>
        <w:rPr>
          <w:sz w:val="30"/>
          <w:szCs w:val="30"/>
        </w:rPr>
        <w:t> : Membre</w:t>
      </w:r>
    </w:p>
    <w:p>
      <w:pPr>
        <w:spacing w:after="0" w:line="360" w:lineRule="auto"/>
        <w:rPr>
          <w:sz w:val="30"/>
          <w:szCs w:val="30"/>
        </w:rPr>
      </w:pPr>
      <w:r>
        <w:rPr>
          <w:sz w:val="30"/>
          <w:szCs w:val="30"/>
        </w:rPr>
        <w:t xml:space="preserve">-  </w:t>
      </w:r>
      <w:r>
        <w:rPr>
          <w:b/>
          <w:bCs/>
          <w:sz w:val="30"/>
          <w:szCs w:val="30"/>
        </w:rPr>
        <w:t xml:space="preserve">Mme           NADJEH Amel               </w:t>
      </w:r>
      <w:r>
        <w:rPr>
          <w:sz w:val="30"/>
          <w:szCs w:val="30"/>
        </w:rPr>
        <w:t> : Membre</w:t>
      </w:r>
    </w:p>
    <w:p>
      <w:pPr>
        <w:spacing w:after="0" w:line="360" w:lineRule="auto"/>
        <w:rPr>
          <w:sz w:val="30"/>
          <w:szCs w:val="30"/>
        </w:rPr>
      </w:pPr>
      <w:r>
        <w:rPr>
          <w:sz w:val="30"/>
          <w:szCs w:val="30"/>
        </w:rPr>
        <w:t xml:space="preserve">-  </w:t>
      </w:r>
      <w:r>
        <w:rPr>
          <w:b/>
          <w:bCs/>
          <w:sz w:val="30"/>
          <w:szCs w:val="30"/>
        </w:rPr>
        <w:t xml:space="preserve">Monsieur  HASSANI Amine              </w:t>
      </w:r>
      <w:r>
        <w:rPr>
          <w:sz w:val="30"/>
          <w:szCs w:val="30"/>
        </w:rPr>
        <w:t> : Membre</w:t>
      </w:r>
    </w:p>
    <w:p>
      <w:pPr>
        <w:spacing w:after="0" w:line="240" w:lineRule="auto"/>
        <w:ind w:left="-426" w:right="-569"/>
        <w:rPr>
          <w:b/>
          <w:sz w:val="22"/>
          <w:szCs w:val="22"/>
          <w:u w:val="single"/>
        </w:rPr>
      </w:pPr>
      <w:r>
        <w:rPr>
          <w:b/>
          <w:sz w:val="22"/>
          <w:szCs w:val="22"/>
          <w:u w:val="single"/>
        </w:rPr>
        <w:t>Vu les Articles 3 , 4 alinéa 1 , Art 5 alinéa 3 , Art 6,7 Art 9 alinéa 1 , Art 10 , Art 31 , Art 30 , 37 , Art 38 , Art 39 , et Art 42, 45  du Code disciplinaire de la Fédération Algérienne de Football</w:t>
      </w:r>
    </w:p>
    <w:p>
      <w:pPr>
        <w:spacing w:after="0" w:line="240" w:lineRule="auto"/>
        <w:ind w:left="-426" w:right="-569"/>
        <w:rPr>
          <w:b/>
          <w:sz w:val="22"/>
          <w:szCs w:val="22"/>
          <w:u w:val="single"/>
        </w:rPr>
      </w:pPr>
      <w:r>
        <w:rPr>
          <w:b/>
          <w:sz w:val="22"/>
          <w:szCs w:val="22"/>
          <w:u w:val="single"/>
        </w:rPr>
        <w:t xml:space="preserve">Vu le manuel du protocole covid-19 du championnat professionnel saison 2020-2021.  </w:t>
      </w:r>
    </w:p>
    <w:p>
      <w:pPr>
        <w:spacing w:after="0" w:line="240" w:lineRule="auto"/>
        <w:ind w:left="-426" w:right="-569"/>
        <w:jc w:val="both"/>
        <w:rPr>
          <w:sz w:val="22"/>
          <w:szCs w:val="22"/>
        </w:rPr>
      </w:pPr>
      <w:r>
        <w:rPr>
          <w:b/>
          <w:sz w:val="22"/>
          <w:szCs w:val="22"/>
          <w:u w:val="single"/>
        </w:rPr>
        <w:t xml:space="preserve"> Vu l’Article 26 alinéa 1 et l’Article 62 alinéa 1, 6 et 7  du Règlement des Championnats de Football Professionnel Et suite l’examen  des pièces versées aux dossiers, aux  rapports des officiels de les rencontres , la Commission de Discipline après délibération,  a pris les décisions suivantes </w:t>
      </w:r>
      <w:r>
        <w:rPr>
          <w:sz w:val="22"/>
          <w:szCs w:val="22"/>
        </w:rPr>
        <w:t xml:space="preserve">: </w:t>
      </w:r>
    </w:p>
    <w:p>
      <w:pPr>
        <w:jc w:val="center"/>
        <w:rPr>
          <w:rFonts w:hint="default"/>
          <w:b/>
          <w:u w:val="single"/>
          <w:lang w:val="fr-FR"/>
        </w:rPr>
      </w:pPr>
      <w:r>
        <w:rPr>
          <w:b/>
          <w:bCs/>
          <w:sz w:val="48"/>
          <w:szCs w:val="48"/>
          <w:u w:val="single"/>
        </w:rPr>
        <w:t>3</w:t>
      </w:r>
      <w:r>
        <w:rPr>
          <w:rFonts w:hint="default"/>
          <w:b/>
          <w:bCs/>
          <w:sz w:val="48"/>
          <w:szCs w:val="48"/>
          <w:u w:val="single"/>
          <w:lang w:val="fr-FR"/>
        </w:rPr>
        <w:t>0</w:t>
      </w:r>
      <w:r>
        <w:rPr>
          <w:b/>
          <w:bCs/>
          <w:sz w:val="48"/>
          <w:szCs w:val="48"/>
          <w:u w:val="single"/>
        </w:rPr>
        <w:t>éme Journée</w:t>
      </w:r>
      <w:r>
        <w:rPr>
          <w:rFonts w:hint="default"/>
          <w:b/>
          <w:bCs/>
          <w:sz w:val="48"/>
          <w:szCs w:val="48"/>
          <w:u w:val="single"/>
          <w:lang w:val="fr-FR"/>
        </w:rPr>
        <w:t xml:space="preserve"> (Retard)</w:t>
      </w:r>
    </w:p>
    <w:tbl>
      <w:tblPr>
        <w:tblStyle w:val="6"/>
        <w:tblpPr w:leftFromText="141" w:rightFromText="141" w:vertAnchor="text" w:horzAnchor="margin" w:tblpXSpec="center" w:tblpY="325"/>
        <w:tblW w:w="11123" w:type="dxa"/>
        <w:tblInd w:w="0" w:type="dxa"/>
        <w:tblLayout w:type="fixed"/>
        <w:tblCellMar>
          <w:top w:w="15" w:type="dxa"/>
          <w:left w:w="15" w:type="dxa"/>
          <w:bottom w:w="15" w:type="dxa"/>
          <w:right w:w="15" w:type="dxa"/>
        </w:tblCellMar>
      </w:tblPr>
      <w:tblGrid>
        <w:gridCol w:w="11123"/>
      </w:tblGrid>
      <w:tr>
        <w:tblPrEx>
          <w:tblCellMar>
            <w:top w:w="15" w:type="dxa"/>
            <w:left w:w="15" w:type="dxa"/>
            <w:bottom w:w="15" w:type="dxa"/>
            <w:right w:w="15" w:type="dxa"/>
          </w:tblCellMar>
        </w:tblPrEx>
        <w:trPr>
          <w:trHeight w:val="477" w:hRule="atLeast"/>
        </w:trPr>
        <w:tc>
          <w:tcPr>
            <w:tcW w:w="11123" w:type="dxa"/>
            <w:tcBorders>
              <w:top w:val="nil"/>
              <w:left w:val="outset" w:color="auto" w:sz="6" w:space="0"/>
              <w:bottom w:val="outset" w:color="auto" w:sz="6" w:space="0"/>
              <w:right w:val="outset" w:color="auto" w:sz="6" w:space="0"/>
            </w:tcBorders>
            <w:shd w:val="clear" w:color="auto" w:fill="548DD4" w:themeFill="text2" w:themeFillTint="99"/>
            <w:vAlign w:val="top"/>
          </w:tcPr>
          <w:p>
            <w:pPr>
              <w:jc w:val="center"/>
              <w:rPr>
                <w:rFonts w:hint="default" w:ascii="Calibri" w:hAnsi="Calibri" w:eastAsia="Times New Roman" w:cs="Aharoni"/>
                <w:b/>
                <w:bCs/>
                <w:color w:val="000000" w:themeColor="text1"/>
                <w:sz w:val="28"/>
                <w:szCs w:val="28"/>
                <w:lang w:val="fr-FR" w:eastAsia="fr-FR" w:bidi="ar-SA"/>
                <w14:textFill>
                  <w14:solidFill>
                    <w14:schemeClr w14:val="tx1"/>
                  </w14:solidFill>
                </w14:textFill>
              </w:rPr>
            </w:pPr>
            <w:r>
              <w:rPr>
                <w:rFonts w:cs="Aharoni"/>
                <w:b/>
                <w:bCs/>
                <w:color w:val="000000" w:themeColor="text1"/>
                <w:sz w:val="28"/>
                <w:szCs w:val="28"/>
                <w14:textFill>
                  <w14:solidFill>
                    <w14:schemeClr w14:val="tx1"/>
                  </w14:solidFill>
                </w14:textFill>
              </w:rPr>
              <w:t>Affaire N°</w:t>
            </w:r>
            <w:r>
              <w:rPr>
                <w:rFonts w:hint="default" w:cs="Aharoni"/>
                <w:b/>
                <w:bCs/>
                <w:color w:val="000000" w:themeColor="text1"/>
                <w:sz w:val="28"/>
                <w:szCs w:val="28"/>
                <w:lang w:val="fr-FR"/>
                <w14:textFill>
                  <w14:solidFill>
                    <w14:schemeClr w14:val="tx1"/>
                  </w14:solidFill>
                </w14:textFill>
              </w:rPr>
              <w:t>261</w:t>
            </w:r>
            <w:r>
              <w:rPr>
                <w:rFonts w:cs="Aharoni"/>
                <w:b/>
                <w:bCs/>
                <w:color w:val="000000" w:themeColor="text1"/>
                <w:sz w:val="28"/>
                <w:szCs w:val="28"/>
                <w14:textFill>
                  <w14:solidFill>
                    <w14:schemeClr w14:val="tx1"/>
                  </w14:solidFill>
                </w14:textFill>
              </w:rPr>
              <w:t xml:space="preserve">: Rencontre </w:t>
            </w:r>
            <w:r>
              <w:rPr>
                <w:rFonts w:hint="default" w:cs="Aharoni"/>
                <w:b/>
                <w:bCs/>
                <w:color w:val="000000" w:themeColor="text1"/>
                <w:sz w:val="28"/>
                <w:szCs w:val="28"/>
                <w:lang w:val="fr-FR"/>
                <w14:textFill>
                  <w14:solidFill>
                    <w14:schemeClr w14:val="tx1"/>
                  </w14:solidFill>
                </w14:textFill>
              </w:rPr>
              <w:t xml:space="preserve">ESS/NAHD </w:t>
            </w:r>
            <w:r>
              <w:rPr>
                <w:rFonts w:cs="Aharoni"/>
                <w:b/>
                <w:bCs/>
                <w:color w:val="000000" w:themeColor="text1"/>
                <w:sz w:val="28"/>
                <w:szCs w:val="28"/>
                <w14:textFill>
                  <w14:solidFill>
                    <w14:schemeClr w14:val="tx1"/>
                  </w14:solidFill>
                </w14:textFill>
              </w:rPr>
              <w:t xml:space="preserve">du </w:t>
            </w:r>
            <w:r>
              <w:rPr>
                <w:rFonts w:hint="default" w:cs="Aharoni"/>
                <w:b/>
                <w:bCs/>
                <w:color w:val="000000" w:themeColor="text1"/>
                <w:sz w:val="28"/>
                <w:szCs w:val="28"/>
                <w:lang w:val="fr-FR"/>
                <w14:textFill>
                  <w14:solidFill>
                    <w14:schemeClr w14:val="tx1"/>
                  </w14:solidFill>
                </w14:textFill>
              </w:rPr>
              <w:t>14.06.2022</w:t>
            </w:r>
          </w:p>
        </w:tc>
      </w:tr>
      <w:tr>
        <w:tblPrEx>
          <w:tblCellMar>
            <w:top w:w="15" w:type="dxa"/>
            <w:left w:w="15" w:type="dxa"/>
            <w:bottom w:w="15" w:type="dxa"/>
            <w:right w:w="15" w:type="dxa"/>
          </w:tblCellMar>
        </w:tblPrEx>
        <w:trPr>
          <w:trHeight w:val="777" w:hRule="atLeast"/>
        </w:trPr>
        <w:tc>
          <w:tcPr>
            <w:tcW w:w="11123" w:type="dxa"/>
            <w:tcBorders>
              <w:top w:val="nil"/>
              <w:left w:val="outset" w:color="auto" w:sz="6" w:space="0"/>
              <w:bottom w:val="outset" w:color="auto" w:sz="6" w:space="0"/>
              <w:right w:val="outset" w:color="auto" w:sz="6" w:space="0"/>
            </w:tcBorders>
            <w:shd w:val="clear" w:color="auto" w:fill="FFFFFF"/>
          </w:tcPr>
          <w:p>
            <w:pPr>
              <w:rPr>
                <w:rFonts w:hint="default" w:cs="Aharoni"/>
                <w:b/>
                <w:bCs/>
                <w:sz w:val="28"/>
                <w:szCs w:val="28"/>
                <w:lang w:val="fr-FR"/>
              </w:rPr>
            </w:pPr>
            <w:r>
              <w:rPr>
                <w:rFonts w:cs="Aharoni"/>
                <w:b/>
                <w:bCs/>
                <w:sz w:val="28"/>
                <w:szCs w:val="28"/>
              </w:rPr>
              <w:t xml:space="preserve"> NAHD : </w:t>
            </w:r>
            <w:r>
              <w:rPr>
                <w:rFonts w:eastAsia="Cambria" w:cs="Arial"/>
                <w:b/>
                <w:bCs/>
                <w:color w:val="FF0000"/>
                <w:sz w:val="28"/>
                <w:szCs w:val="28"/>
              </w:rPr>
              <w:t xml:space="preserve">200.000 DA </w:t>
            </w:r>
            <w:r>
              <w:rPr>
                <w:rFonts w:eastAsia="Cambria" w:cs="Arial"/>
                <w:sz w:val="28"/>
                <w:szCs w:val="28"/>
              </w:rPr>
              <w:t>d’amende pour Absence d’entraineur en chef sur la main courante (ART 25-11. Dispositions réglementaires</w:t>
            </w:r>
            <w:r>
              <w:rPr>
                <w:rFonts w:hint="default" w:eastAsia="Cambria" w:cs="Arial"/>
                <w:sz w:val="28"/>
                <w:szCs w:val="28"/>
                <w:lang w:val="fr-FR"/>
              </w:rPr>
              <w:t xml:space="preserve"> .</w:t>
            </w:r>
          </w:p>
        </w:tc>
      </w:tr>
    </w:tbl>
    <w:p>
      <w:pPr>
        <w:jc w:val="center"/>
        <w:rPr>
          <w:rFonts w:hint="default"/>
          <w:b/>
          <w:u w:val="single"/>
          <w:lang w:val="fr-FR"/>
        </w:rPr>
      </w:pPr>
      <w:r>
        <w:rPr>
          <w:b/>
          <w:bCs/>
          <w:sz w:val="48"/>
          <w:szCs w:val="48"/>
          <w:u w:val="single"/>
        </w:rPr>
        <w:t>3</w:t>
      </w:r>
      <w:r>
        <w:rPr>
          <w:rFonts w:hint="default"/>
          <w:b/>
          <w:bCs/>
          <w:sz w:val="48"/>
          <w:szCs w:val="48"/>
          <w:u w:val="single"/>
          <w:lang w:val="fr-FR"/>
        </w:rPr>
        <w:t>4</w:t>
      </w:r>
      <w:r>
        <w:rPr>
          <w:b/>
          <w:bCs/>
          <w:sz w:val="48"/>
          <w:szCs w:val="48"/>
          <w:u w:val="single"/>
        </w:rPr>
        <w:t>éme Journée</w:t>
      </w:r>
      <w:r>
        <w:rPr>
          <w:rFonts w:hint="default"/>
          <w:b/>
          <w:bCs/>
          <w:sz w:val="48"/>
          <w:szCs w:val="48"/>
          <w:u w:val="single"/>
          <w:lang w:val="fr-FR"/>
        </w:rPr>
        <w:t xml:space="preserve"> (Retard)</w:t>
      </w:r>
    </w:p>
    <w:tbl>
      <w:tblPr>
        <w:tblStyle w:val="6"/>
        <w:tblpPr w:leftFromText="141" w:rightFromText="141" w:vertAnchor="text" w:horzAnchor="margin" w:tblpXSpec="center" w:tblpY="571"/>
        <w:tblW w:w="11123" w:type="dxa"/>
        <w:tblInd w:w="0" w:type="dxa"/>
        <w:tblLayout w:type="fixed"/>
        <w:tblCellMar>
          <w:top w:w="15" w:type="dxa"/>
          <w:left w:w="15" w:type="dxa"/>
          <w:bottom w:w="15" w:type="dxa"/>
          <w:right w:w="15" w:type="dxa"/>
        </w:tblCellMar>
      </w:tblPr>
      <w:tblGrid>
        <w:gridCol w:w="11123"/>
      </w:tblGrid>
      <w:tr>
        <w:tblPrEx>
          <w:tblCellMar>
            <w:top w:w="15" w:type="dxa"/>
            <w:left w:w="15" w:type="dxa"/>
            <w:bottom w:w="15" w:type="dxa"/>
            <w:right w:w="15" w:type="dxa"/>
          </w:tblCellMar>
        </w:tblPrEx>
        <w:tc>
          <w:tcPr>
            <w:tcW w:w="11123" w:type="dxa"/>
            <w:tcBorders>
              <w:top w:val="nil"/>
              <w:left w:val="outset" w:color="auto" w:sz="6" w:space="0"/>
              <w:bottom w:val="outset" w:color="auto" w:sz="6" w:space="0"/>
              <w:right w:val="outset" w:color="auto" w:sz="6" w:space="0"/>
            </w:tcBorders>
            <w:shd w:val="clear" w:color="auto" w:fill="548DD4" w:themeFill="text2" w:themeFillTint="99"/>
          </w:tcPr>
          <w:p>
            <w:pPr>
              <w:jc w:val="center"/>
              <w:rPr>
                <w:rFonts w:hint="default" w:cs="Aharoni"/>
                <w:b/>
                <w:bCs/>
                <w:color w:val="000000" w:themeColor="text1"/>
                <w:sz w:val="28"/>
                <w:szCs w:val="28"/>
                <w:lang w:val="fr-FR"/>
                <w14:textFill>
                  <w14:solidFill>
                    <w14:schemeClr w14:val="tx1"/>
                  </w14:solidFill>
                </w14:textFill>
              </w:rPr>
            </w:pPr>
            <w:r>
              <w:rPr>
                <w:rFonts w:cs="Aharoni"/>
                <w:b/>
                <w:bCs/>
                <w:color w:val="000000" w:themeColor="text1"/>
                <w:sz w:val="28"/>
                <w:szCs w:val="28"/>
                <w14:textFill>
                  <w14:solidFill>
                    <w14:schemeClr w14:val="tx1"/>
                  </w14:solidFill>
                </w14:textFill>
              </w:rPr>
              <w:t>Affaire N°</w:t>
            </w:r>
            <w:r>
              <w:rPr>
                <w:rFonts w:hint="default" w:cs="Aharoni"/>
                <w:b/>
                <w:bCs/>
                <w:color w:val="000000" w:themeColor="text1"/>
                <w:sz w:val="28"/>
                <w:szCs w:val="28"/>
                <w:lang w:val="fr-FR"/>
                <w14:textFill>
                  <w14:solidFill>
                    <w14:schemeClr w14:val="tx1"/>
                  </w14:solidFill>
                </w14:textFill>
              </w:rPr>
              <w:t>306</w:t>
            </w:r>
            <w:r>
              <w:rPr>
                <w:rFonts w:cs="Aharoni"/>
                <w:b/>
                <w:bCs/>
                <w:color w:val="000000" w:themeColor="text1"/>
                <w:sz w:val="28"/>
                <w:szCs w:val="28"/>
                <w14:textFill>
                  <w14:solidFill>
                    <w14:schemeClr w14:val="tx1"/>
                  </w14:solidFill>
                </w14:textFill>
              </w:rPr>
              <w:t xml:space="preserve"> : Rencontre </w:t>
            </w:r>
            <w:r>
              <w:rPr>
                <w:rFonts w:hint="default" w:cs="Aharoni"/>
                <w:b/>
                <w:bCs/>
                <w:color w:val="000000" w:themeColor="text1"/>
                <w:sz w:val="28"/>
                <w:szCs w:val="28"/>
                <w:lang w:val="fr-FR"/>
                <w14:textFill>
                  <w14:solidFill>
                    <w14:schemeClr w14:val="tx1"/>
                  </w14:solidFill>
                </w14:textFill>
              </w:rPr>
              <w:t>ESS/USMA</w:t>
            </w:r>
            <w:r>
              <w:rPr>
                <w:rFonts w:cs="Aharoni"/>
                <w:b/>
                <w:bCs/>
                <w:color w:val="000000" w:themeColor="text1"/>
                <w:sz w:val="28"/>
                <w:szCs w:val="28"/>
                <w14:textFill>
                  <w14:solidFill>
                    <w14:schemeClr w14:val="tx1"/>
                  </w14:solidFill>
                </w14:textFill>
              </w:rPr>
              <w:t xml:space="preserve"> du </w:t>
            </w:r>
            <w:r>
              <w:rPr>
                <w:rFonts w:hint="default" w:cs="Aharoni"/>
                <w:b/>
                <w:bCs/>
                <w:color w:val="000000" w:themeColor="text1"/>
                <w:sz w:val="28"/>
                <w:szCs w:val="28"/>
                <w:lang w:val="fr-FR"/>
                <w14:textFill>
                  <w14:solidFill>
                    <w14:schemeClr w14:val="tx1"/>
                  </w14:solidFill>
                </w14:textFill>
              </w:rPr>
              <w:t>17.06.2022</w:t>
            </w:r>
          </w:p>
        </w:tc>
      </w:tr>
      <w:tr>
        <w:tblPrEx>
          <w:tblCellMar>
            <w:top w:w="15" w:type="dxa"/>
            <w:left w:w="15" w:type="dxa"/>
            <w:bottom w:w="15" w:type="dxa"/>
            <w:right w:w="15" w:type="dxa"/>
          </w:tblCellMar>
        </w:tblPrEx>
        <w:tc>
          <w:tcPr>
            <w:tcW w:w="11123" w:type="dxa"/>
            <w:tcBorders>
              <w:top w:val="nil"/>
              <w:left w:val="outset" w:color="auto" w:sz="6" w:space="0"/>
              <w:bottom w:val="outset" w:color="auto" w:sz="6" w:space="0"/>
              <w:right w:val="outset" w:color="auto" w:sz="6" w:space="0"/>
            </w:tcBorders>
            <w:shd w:val="clear" w:color="auto" w:fill="FFFFFF" w:themeFill="background1"/>
          </w:tcPr>
          <w:p>
            <w:pPr>
              <w:jc w:val="left"/>
              <w:rPr>
                <w:rFonts w:hint="default" w:cs="Aharoni"/>
                <w:b/>
                <w:bCs/>
                <w:color w:val="000000" w:themeColor="text1"/>
                <w:sz w:val="28"/>
                <w:szCs w:val="28"/>
                <w:lang w:val="fr-FR"/>
                <w14:textFill>
                  <w14:solidFill>
                    <w14:schemeClr w14:val="tx1"/>
                  </w14:solidFill>
                </w14:textFill>
              </w:rPr>
            </w:pPr>
            <w:r>
              <w:rPr>
                <w:rFonts w:hint="default" w:cs="Aharoni"/>
                <w:b/>
                <w:bCs/>
                <w:sz w:val="28"/>
                <w:szCs w:val="28"/>
                <w:lang w:val="fr-FR"/>
              </w:rPr>
              <w:t xml:space="preserve">Belabed  Djamil </w:t>
            </w:r>
            <w:r>
              <w:rPr>
                <w:rFonts w:cs="Aharoni"/>
                <w:b/>
                <w:bCs/>
                <w:sz w:val="28"/>
                <w:szCs w:val="28"/>
              </w:rPr>
              <w:t xml:space="preserve"> n°</w:t>
            </w:r>
            <w:r>
              <w:rPr>
                <w:rFonts w:hint="default" w:cs="Aharoni"/>
                <w:b/>
                <w:bCs/>
                <w:sz w:val="28"/>
                <w:szCs w:val="28"/>
                <w:lang w:val="fr-FR"/>
              </w:rPr>
              <w:t>208050001</w:t>
            </w:r>
            <w:r>
              <w:rPr>
                <w:rFonts w:cs="Aharoni"/>
                <w:b/>
                <w:bCs/>
                <w:sz w:val="28"/>
                <w:szCs w:val="28"/>
              </w:rPr>
              <w:t xml:space="preserve"> -</w:t>
            </w:r>
            <w:r>
              <w:rPr>
                <w:rFonts w:hint="default" w:cs="Aharoni"/>
                <w:b/>
                <w:bCs/>
                <w:sz w:val="28"/>
                <w:szCs w:val="28"/>
                <w:lang w:val="fr-FR"/>
              </w:rPr>
              <w:t xml:space="preserve">ESS </w:t>
            </w:r>
            <w:r>
              <w:rPr>
                <w:rFonts w:cs="Aharoni"/>
                <w:sz w:val="28"/>
                <w:szCs w:val="28"/>
              </w:rPr>
              <w:t>Avertissement</w:t>
            </w:r>
            <w:r>
              <w:rPr>
                <w:rFonts w:ascii="Cambria" w:hAnsi="Cambria" w:cs="Arial"/>
                <w:sz w:val="28"/>
                <w:szCs w:val="28"/>
              </w:rPr>
              <w:t xml:space="preserve"> :   Jeux dangereux</w:t>
            </w:r>
            <w:r>
              <w:rPr>
                <w:rFonts w:hint="default" w:ascii="Cambria" w:hAnsi="Cambria" w:cs="Arial"/>
                <w:sz w:val="28"/>
                <w:szCs w:val="28"/>
                <w:lang w:val="fr-FR"/>
              </w:rPr>
              <w:t xml:space="preserve"> .</w:t>
            </w:r>
          </w:p>
        </w:tc>
      </w:tr>
      <w:tr>
        <w:tblPrEx>
          <w:tblCellMar>
            <w:top w:w="15" w:type="dxa"/>
            <w:left w:w="15" w:type="dxa"/>
            <w:bottom w:w="15" w:type="dxa"/>
            <w:right w:w="15" w:type="dxa"/>
          </w:tblCellMar>
        </w:tblPrEx>
        <w:trPr>
          <w:trHeight w:val="388" w:hRule="atLeast"/>
        </w:trPr>
        <w:tc>
          <w:tcPr>
            <w:tcW w:w="11123" w:type="dxa"/>
            <w:tcBorders>
              <w:top w:val="nil"/>
              <w:left w:val="outset" w:color="auto" w:sz="6" w:space="0"/>
              <w:bottom w:val="outset" w:color="auto" w:sz="6" w:space="0"/>
              <w:right w:val="outset" w:color="auto" w:sz="6" w:space="0"/>
            </w:tcBorders>
            <w:shd w:val="clear" w:color="auto" w:fill="FFFFFF" w:themeFill="background1"/>
          </w:tcPr>
          <w:p>
            <w:pPr>
              <w:jc w:val="left"/>
              <w:rPr>
                <w:rFonts w:hint="default" w:cs="Aharoni"/>
                <w:b/>
                <w:bCs/>
                <w:sz w:val="28"/>
                <w:szCs w:val="28"/>
                <w:lang w:val="fr-FR"/>
              </w:rPr>
            </w:pPr>
            <w:r>
              <w:rPr>
                <w:rFonts w:hint="default" w:cs="Aharoni"/>
                <w:b/>
                <w:bCs/>
                <w:sz w:val="28"/>
                <w:szCs w:val="28"/>
                <w:lang w:val="fr-FR"/>
              </w:rPr>
              <w:t xml:space="preserve">Azri Abdellah </w:t>
            </w:r>
            <w:r>
              <w:rPr>
                <w:rFonts w:cs="Aharoni"/>
                <w:b/>
                <w:bCs/>
                <w:sz w:val="28"/>
                <w:szCs w:val="28"/>
              </w:rPr>
              <w:t>n°</w:t>
            </w:r>
            <w:r>
              <w:rPr>
                <w:rFonts w:hint="default" w:cs="Aharoni"/>
                <w:b/>
                <w:bCs/>
                <w:sz w:val="28"/>
                <w:szCs w:val="28"/>
                <w:lang w:val="fr-FR"/>
              </w:rPr>
              <w:t>301401</w:t>
            </w:r>
            <w:r>
              <w:rPr>
                <w:rFonts w:cs="Aharoni"/>
                <w:b/>
                <w:bCs/>
                <w:sz w:val="28"/>
                <w:szCs w:val="28"/>
              </w:rPr>
              <w:t xml:space="preserve"> -</w:t>
            </w:r>
            <w:r>
              <w:rPr>
                <w:rFonts w:hint="default" w:cs="Aharoni"/>
                <w:b/>
                <w:bCs/>
                <w:sz w:val="28"/>
                <w:szCs w:val="28"/>
                <w:lang w:val="fr-FR"/>
              </w:rPr>
              <w:t>USMA</w:t>
            </w:r>
            <w:r>
              <w:rPr>
                <w:rFonts w:cs="Aharoni"/>
                <w:sz w:val="28"/>
                <w:szCs w:val="28"/>
              </w:rPr>
              <w:t xml:space="preserve"> Avertissement</w:t>
            </w:r>
            <w:r>
              <w:rPr>
                <w:rFonts w:ascii="Cambria" w:hAnsi="Cambria" w:cs="Arial"/>
                <w:sz w:val="28"/>
                <w:szCs w:val="28"/>
              </w:rPr>
              <w:t xml:space="preserve"> :  Comportement anti sportif</w:t>
            </w:r>
            <w:r>
              <w:rPr>
                <w:rFonts w:hint="default" w:ascii="Cambria" w:hAnsi="Cambria" w:cs="Arial"/>
                <w:sz w:val="28"/>
                <w:szCs w:val="28"/>
                <w:lang w:val="fr-FR"/>
              </w:rPr>
              <w:t xml:space="preserve"> .</w:t>
            </w:r>
          </w:p>
        </w:tc>
      </w:tr>
    </w:tbl>
    <w:p>
      <w:pPr>
        <w:rPr>
          <w:vertAlign w:val="subscript"/>
        </w:rPr>
      </w:pPr>
      <w:bookmarkStart w:id="0" w:name="_Hlk105427175"/>
    </w:p>
    <w:p>
      <w:r>
        <w:rPr>
          <w:b/>
          <w:bCs/>
          <w:color w:val="000000"/>
        </w:rPr>
        <w:t>La commission de discipline vous informe que le règlement vous donne le droit de faire appel devant la commission de recours de la FAF dans les délais cités dans l’article 96 du règlement des championnats professionnel.</w:t>
      </w:r>
    </w:p>
    <w:bookmarkEnd w:id="0"/>
    <w:p/>
    <w:p/>
    <w:sectPr>
      <w:pgSz w:w="11906" w:h="16838"/>
      <w:pgMar w:top="907" w:right="1418" w:bottom="1418" w:left="1418" w:header="680"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haroni">
    <w:panose1 w:val="02010803020104030203"/>
    <w:charset w:val="B1"/>
    <w:family w:val="auto"/>
    <w:pitch w:val="default"/>
    <w:sig w:usb0="00000801" w:usb1="00000000" w:usb2="00000000" w:usb3="00000000" w:csb0="00000020" w:csb1="002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0"/>
    <w:rsid w:val="00022ACD"/>
    <w:rsid w:val="00025322"/>
    <w:rsid w:val="00123730"/>
    <w:rsid w:val="00206E73"/>
    <w:rsid w:val="003F49DE"/>
    <w:rsid w:val="00504CDB"/>
    <w:rsid w:val="0091335C"/>
    <w:rsid w:val="00AA500F"/>
    <w:rsid w:val="00AA63D7"/>
    <w:rsid w:val="00AF7359"/>
    <w:rsid w:val="00BB5913"/>
    <w:rsid w:val="05D06823"/>
    <w:rsid w:val="07C90485"/>
    <w:rsid w:val="09896468"/>
    <w:rsid w:val="102B64CB"/>
    <w:rsid w:val="10D866F5"/>
    <w:rsid w:val="16817C99"/>
    <w:rsid w:val="19FE62F7"/>
    <w:rsid w:val="27C04855"/>
    <w:rsid w:val="2F9E5F1A"/>
    <w:rsid w:val="33095DA0"/>
    <w:rsid w:val="33525C17"/>
    <w:rsid w:val="4D9D1962"/>
    <w:rsid w:val="53893080"/>
    <w:rsid w:val="57882E88"/>
    <w:rsid w:val="5A9C73D7"/>
    <w:rsid w:val="6ED24CBD"/>
    <w:rsid w:val="76F23C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before="100" w:beforeAutospacing="1" w:after="100" w:afterAutospacing="1" w:line="273" w:lineRule="auto"/>
    </w:pPr>
    <w:rPr>
      <w:rFonts w:ascii="Calibri" w:hAnsi="Calibri" w:eastAsia="Times New Roman" w:cs="Times New Roman"/>
      <w:sz w:val="24"/>
      <w:szCs w:val="24"/>
      <w:lang w:val="fr-FR" w:eastAsia="fr-FR"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536"/>
        <w:tab w:val="right" w:pos="9072"/>
      </w:tabs>
      <w:spacing w:before="0" w:after="0" w:line="240" w:lineRule="auto"/>
    </w:pPr>
  </w:style>
  <w:style w:type="paragraph" w:styleId="4">
    <w:name w:val="header"/>
    <w:basedOn w:val="1"/>
    <w:link w:val="7"/>
    <w:semiHidden/>
    <w:unhideWhenUsed/>
    <w:qFormat/>
    <w:uiPriority w:val="99"/>
    <w:pPr>
      <w:tabs>
        <w:tab w:val="center" w:pos="4536"/>
        <w:tab w:val="right" w:pos="9072"/>
      </w:tabs>
      <w:spacing w:before="0" w:after="0" w:line="240" w:lineRule="auto"/>
    </w:pPr>
  </w:style>
  <w:style w:type="table" w:customStyle="1" w:styleId="6">
    <w:name w:val="_Style 1211"/>
    <w:basedOn w:val="5"/>
    <w:qFormat/>
    <w:uiPriority w:val="0"/>
    <w:rPr>
      <w:rFonts w:ascii="Times New Roman" w:hAnsi="Times New Roman" w:eastAsia="Times New Roman" w:cs="Times New Roman"/>
    </w:rPr>
    <w:tblPr>
      <w:tblCellMar>
        <w:left w:w="0" w:type="dxa"/>
        <w:right w:w="0" w:type="dxa"/>
      </w:tblCellMar>
    </w:tblPr>
  </w:style>
  <w:style w:type="character" w:customStyle="1" w:styleId="7">
    <w:name w:val="En-tête Car"/>
    <w:basedOn w:val="2"/>
    <w:link w:val="4"/>
    <w:semiHidden/>
    <w:qFormat/>
    <w:uiPriority w:val="99"/>
    <w:rPr>
      <w:rFonts w:ascii="Calibri" w:hAnsi="Calibri" w:eastAsia="Times New Roman" w:cs="Times New Roman"/>
      <w:sz w:val="24"/>
      <w:szCs w:val="24"/>
      <w:lang w:eastAsia="fr-FR"/>
    </w:rPr>
  </w:style>
  <w:style w:type="character" w:customStyle="1" w:styleId="8">
    <w:name w:val="Pied de page Car"/>
    <w:basedOn w:val="2"/>
    <w:link w:val="3"/>
    <w:semiHidden/>
    <w:uiPriority w:val="99"/>
    <w:rPr>
      <w:rFonts w:ascii="Calibri" w:hAnsi="Calibri" w:eastAsia="Times New Roman" w:cs="Times New Roman"/>
      <w:sz w:val="24"/>
      <w:szCs w:val="24"/>
      <w:lang w:eastAsia="fr-F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509</Words>
  <Characters>2805</Characters>
  <Lines>23</Lines>
  <Paragraphs>6</Paragraphs>
  <TotalTime>12</TotalTime>
  <ScaleCrop>false</ScaleCrop>
  <LinksUpToDate>false</LinksUpToDate>
  <CharactersWithSpaces>3308</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2022-06-13T18:50:00Z</dcterms:created>
  <dc:creator>Dell</dc:creator>
  <cp:lastModifiedBy>habib_mehideb</cp:lastModifiedBy>
  <cp:lastPrinted>2022-06-13T18:47:00Z</cp:lastPrinted>
  <dcterms:modified xsi:type="dcterms:W3CDTF">2022-06-20T15:34:37Z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1036-11.2.0.11156</vt:lpwstr>
  </property>
  <property fmtid="{D5CDD505-2E9C-101B-9397-08002B2CF9AE}" pid="3" name="ICV">
    <vt:lpwstr>9DBD16F7242048818834487FAF866E4C</vt:lpwstr>
  </property>
</Properties>
</file>